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97" w:rsidRPr="008C2E2A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8C2E2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076B63" w:rsidRPr="008C2E2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8C2E2A" w:rsidRPr="008C2E2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</w:t>
      </w:r>
      <w:r w:rsidR="008C2E2A" w:rsidRPr="008C2E2A">
        <w:rPr>
          <w:rFonts w:ascii="Times New Roman" w:hAnsi="Times New Roman" w:cs="Times New Roman"/>
          <w:b/>
          <w:sz w:val="28"/>
          <w:szCs w:val="28"/>
        </w:rPr>
        <w:t>орядок оплаты за работу в выходные и нерабочие праздничные дни?</w:t>
      </w:r>
      <w:r w:rsidR="00076B63" w:rsidRPr="008C2E2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</w:t>
      </w:r>
    </w:p>
    <w:p w:rsidR="00CE0997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proofErr w:type="gramStart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 района</w:t>
      </w:r>
      <w:proofErr w:type="gramEnd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p w:rsidR="00CE0997" w:rsidRDefault="00CE0997" w:rsidP="00CE0997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C2E2A" w:rsidRDefault="008C2E2A" w:rsidP="008C2E2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8C2E2A" w:rsidRP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>Конституция Российской Федерации гара</w:t>
      </w:r>
      <w:r>
        <w:rPr>
          <w:rFonts w:ascii="Times New Roman" w:hAnsi="Times New Roman" w:cs="Times New Roman"/>
          <w:sz w:val="28"/>
          <w:szCs w:val="28"/>
        </w:rPr>
        <w:t>нтирует каждому право на отдых.</w:t>
      </w:r>
      <w:r w:rsidRPr="008C2E2A">
        <w:rPr>
          <w:rFonts w:ascii="Times New Roman" w:hAnsi="Times New Roman" w:cs="Times New Roman"/>
          <w:sz w:val="28"/>
          <w:szCs w:val="28"/>
        </w:rPr>
        <w:t xml:space="preserve"> Работающему по трудовому договору гарантируются установленные федеральным законом продолжительность рабочего времени, выходные и праздничные дни.</w:t>
      </w:r>
    </w:p>
    <w:p w:rsidR="008C2E2A" w:rsidRP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>Порядок оплаты за работу в выходные и нерабочие праздничные дни регулируется частью 1 статьи 153 Трудового кодекса Российской Федерации.</w:t>
      </w:r>
    </w:p>
    <w:p w:rsidR="008C2E2A" w:rsidRP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>Труд в выходной или нерабочий праздничный день оплачивается не менее чем в двойном размере. При этом в повышенном размере оплачиваются часы, фактически отработанные в выходной или нерабочий праздничный день.</w:t>
      </w:r>
    </w:p>
    <w:p w:rsid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>По желанию работника вместо оплаты выходного дня в повышенном размере может быть предоставлен другой день отдыха. В таком случае работа в выходной или нерабочий праздничный день оплачивается в одинарном размере, а день отдыха оплате не по</w:t>
      </w:r>
      <w:r>
        <w:rPr>
          <w:rFonts w:ascii="Times New Roman" w:hAnsi="Times New Roman" w:cs="Times New Roman"/>
          <w:sz w:val="28"/>
          <w:szCs w:val="28"/>
        </w:rPr>
        <w:t>длежит.</w:t>
      </w:r>
    </w:p>
    <w:p w:rsidR="008C2E2A" w:rsidRP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творческих работников средств массовой информации, организаций кинематографии, теле- и </w:t>
      </w:r>
      <w:proofErr w:type="spellStart"/>
      <w:r w:rsidRPr="008C2E2A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8C2E2A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определяться на основании коллективного договора, локального нормативного акта, трудового договора.</w:t>
      </w:r>
    </w:p>
    <w:p w:rsidR="008C2E2A" w:rsidRP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 xml:space="preserve">Кроме того, при определении заработной платы работника работодателем должны учитываться и начисляться все предусмотренные компенсационные и стимулирующие выплаты за работу в выходные и праздничные </w:t>
      </w:r>
      <w:r>
        <w:rPr>
          <w:rFonts w:ascii="Times New Roman" w:hAnsi="Times New Roman" w:cs="Times New Roman"/>
          <w:sz w:val="28"/>
          <w:szCs w:val="28"/>
        </w:rPr>
        <w:t>дни.</w:t>
      </w:r>
    </w:p>
    <w:p w:rsidR="007710D1" w:rsidRPr="00021C52" w:rsidRDefault="007710D1" w:rsidP="00021C52">
      <w:pPr>
        <w:pStyle w:val="a4"/>
        <w:ind w:firstLine="709"/>
        <w:jc w:val="both"/>
        <w:rPr>
          <w:rFonts w:ascii="Times New Roman" w:hAnsi="Times New Roman" w:cs="Times New Roman"/>
          <w:sz w:val="40"/>
        </w:rPr>
      </w:pPr>
    </w:p>
    <w:sectPr w:rsidR="007710D1" w:rsidRPr="0002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021C52"/>
    <w:rsid w:val="00076B63"/>
    <w:rsid w:val="007710D1"/>
    <w:rsid w:val="007C116D"/>
    <w:rsid w:val="008C2E2A"/>
    <w:rsid w:val="00A738BA"/>
    <w:rsid w:val="00C10255"/>
    <w:rsid w:val="00C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2021-04-07T06:29:00Z</dcterms:created>
  <dcterms:modified xsi:type="dcterms:W3CDTF">2021-04-07T06:29:00Z</dcterms:modified>
</cp:coreProperties>
</file>